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37D1F" w14:textId="77777777" w:rsidR="00DB65CD" w:rsidRDefault="00DB65CD" w:rsidP="002A670A">
      <w:pPr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val="en-US"/>
        </w:rPr>
      </w:pPr>
      <w:r w:rsidRPr="002A670A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val="en-US"/>
        </w:rPr>
        <w:t>Cupressus sempervirens</w:t>
      </w:r>
      <w:r w:rsidRPr="002A670A">
        <w:rPr>
          <w:rFonts w:asciiTheme="majorBidi" w:eastAsia="Times New Roman" w:hAnsiTheme="majorBidi" w:cstheme="majorBidi"/>
          <w:b/>
          <w:bCs/>
          <w:sz w:val="28"/>
          <w:szCs w:val="28"/>
          <w:lang w:val="en-US"/>
        </w:rPr>
        <w:t xml:space="preserve"> essential oils and their major compounds successfully control postharvest grey </w:t>
      </w:r>
      <w:proofErr w:type="spellStart"/>
      <w:r w:rsidRPr="002A670A">
        <w:rPr>
          <w:rFonts w:asciiTheme="majorBidi" w:eastAsia="Times New Roman" w:hAnsiTheme="majorBidi" w:cstheme="majorBidi"/>
          <w:b/>
          <w:bCs/>
          <w:sz w:val="28"/>
          <w:szCs w:val="28"/>
          <w:lang w:val="en-US"/>
        </w:rPr>
        <w:t>mould</w:t>
      </w:r>
      <w:proofErr w:type="spellEnd"/>
      <w:r w:rsidRPr="002A670A">
        <w:rPr>
          <w:rFonts w:asciiTheme="majorBidi" w:eastAsia="Times New Roman" w:hAnsiTheme="majorBidi" w:cstheme="majorBidi"/>
          <w:b/>
          <w:bCs/>
          <w:sz w:val="28"/>
          <w:szCs w:val="28"/>
          <w:lang w:val="en-US"/>
        </w:rPr>
        <w:t xml:space="preserve"> disease of tomato</w:t>
      </w:r>
    </w:p>
    <w:p w14:paraId="1AC3CC61" w14:textId="77777777" w:rsidR="00461FA9" w:rsidRPr="00461FA9" w:rsidRDefault="00461FA9" w:rsidP="002A670A">
      <w:pPr>
        <w:jc w:val="center"/>
        <w:rPr>
          <w:rFonts w:asciiTheme="majorBidi" w:eastAsia="Times New Roman" w:hAnsiTheme="majorBidi" w:cstheme="majorBidi"/>
          <w:b/>
          <w:bCs/>
          <w:sz w:val="8"/>
          <w:szCs w:val="8"/>
          <w:lang w:val="en-US"/>
        </w:rPr>
      </w:pPr>
    </w:p>
    <w:p w14:paraId="64846EF7" w14:textId="656C6484" w:rsidR="00DB65CD" w:rsidRPr="00D35AAA" w:rsidRDefault="00DB65CD" w:rsidP="00D35AA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DB65C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Rguez</w:t>
      </w:r>
      <w:proofErr w:type="spellEnd"/>
      <w:r w:rsidRPr="00DB65C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Safa</w:t>
      </w:r>
      <w:r w:rsidRPr="00DB65C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/>
        </w:rPr>
        <w:t>1</w:t>
      </w:r>
      <w:r w:rsidRPr="00DB65C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DB65C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Djebali</w:t>
      </w:r>
      <w:proofErr w:type="spellEnd"/>
      <w:r w:rsidRPr="00DB65C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Naceur</w:t>
      </w:r>
      <w:r w:rsidRPr="00DB65C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/>
        </w:rPr>
        <w:t>2</w:t>
      </w:r>
      <w:r w:rsidRPr="00DB65C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,</w:t>
      </w:r>
      <w:r w:rsidRPr="00DB65C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/>
        </w:rPr>
        <w:t xml:space="preserve"> </w:t>
      </w:r>
      <w:r w:rsidRPr="00DB65C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Ben </w:t>
      </w:r>
      <w:proofErr w:type="spellStart"/>
      <w:r w:rsidRPr="00DB65C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Slimene</w:t>
      </w:r>
      <w:proofErr w:type="spellEnd"/>
      <w:r w:rsidRPr="00DB65C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Imen</w:t>
      </w:r>
      <w:r w:rsidRPr="00DB65C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/>
        </w:rPr>
        <w:t>2</w:t>
      </w:r>
      <w:r w:rsidRPr="00DB65C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DB65C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Abid</w:t>
      </w:r>
      <w:proofErr w:type="spellEnd"/>
      <w:r w:rsidRPr="00DB65C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Ghassen</w:t>
      </w:r>
      <w:r w:rsidRPr="00DB65C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/>
        </w:rPr>
        <w:t>3</w:t>
      </w:r>
      <w:r w:rsidRPr="00DB65C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DB65C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Hammemi</w:t>
      </w:r>
      <w:proofErr w:type="spellEnd"/>
      <w:r w:rsidRPr="00DB65C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Majdi</w:t>
      </w:r>
      <w:r w:rsidRPr="00DB65C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/>
        </w:rPr>
        <w:t>1</w:t>
      </w:r>
      <w:r w:rsidRPr="00DB65C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DB65C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Chenenaoui</w:t>
      </w:r>
      <w:proofErr w:type="spellEnd"/>
      <w:r w:rsidRPr="00DB65C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Synda</w:t>
      </w:r>
      <w:r w:rsidRPr="00DB65C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/>
        </w:rPr>
        <w:t>4</w:t>
      </w:r>
      <w:r w:rsidRPr="00DB65C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DB65C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Bachkouel</w:t>
      </w:r>
      <w:proofErr w:type="spellEnd"/>
      <w:r w:rsidRPr="00DB65C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Sarra</w:t>
      </w:r>
      <w:r w:rsidRPr="00DB65C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/>
        </w:rPr>
        <w:t>6</w:t>
      </w:r>
      <w:r w:rsidRPr="00DB65C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DB65C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Daami-Remadi</w:t>
      </w:r>
      <w:proofErr w:type="spellEnd"/>
      <w:r w:rsidRPr="00DB65C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Mejda</w:t>
      </w:r>
      <w:r w:rsidRPr="00DB65C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/>
        </w:rPr>
        <w:t>5</w:t>
      </w:r>
      <w:r w:rsidRPr="00DB65C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DB65C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Hamrouni</w:t>
      </w:r>
      <w:proofErr w:type="spellEnd"/>
      <w:r w:rsidRPr="00DB65C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B65C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Sellami</w:t>
      </w:r>
      <w:proofErr w:type="spellEnd"/>
      <w:r w:rsidRPr="00DB65C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Ibtissem</w:t>
      </w:r>
      <w:r w:rsidRPr="00DB65C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/>
        </w:rPr>
        <w:t>1</w:t>
      </w:r>
      <w:r w:rsidR="00D35AA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D35AAA" w:rsidRPr="00DB65C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Ksouri</w:t>
      </w:r>
      <w:proofErr w:type="spellEnd"/>
      <w:r w:rsidR="00D35AAA" w:rsidRPr="00DB65C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Riadh</w:t>
      </w:r>
      <w:r w:rsidR="00D35AAA" w:rsidRPr="00DB65C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/>
        </w:rPr>
        <w:t>1</w:t>
      </w:r>
      <w:bookmarkStart w:id="0" w:name="_GoBack"/>
      <w:bookmarkEnd w:id="0"/>
    </w:p>
    <w:p w14:paraId="47A1EFBE" w14:textId="77777777" w:rsidR="00DB65CD" w:rsidRPr="005572F8" w:rsidRDefault="00DB65CD" w:rsidP="00E8351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val="en-US"/>
        </w:rPr>
      </w:pPr>
      <w:r w:rsidRPr="005572F8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val="en-US"/>
        </w:rPr>
        <w:t>1</w:t>
      </w:r>
      <w:r w:rsidRPr="005572F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Laboratory of Aromatic and Medicinal Plants, Center of Biotechnology of </w:t>
      </w:r>
      <w:proofErr w:type="spellStart"/>
      <w:r w:rsidRPr="005572F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BorjCedria</w:t>
      </w:r>
      <w:proofErr w:type="spellEnd"/>
      <w:r w:rsidRPr="005572F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, BP 901, </w:t>
      </w:r>
      <w:proofErr w:type="spellStart"/>
      <w:r w:rsidRPr="005572F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Hammam-Lif</w:t>
      </w:r>
      <w:proofErr w:type="spellEnd"/>
      <w:r w:rsidRPr="005572F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2050, Tunisia.</w:t>
      </w:r>
    </w:p>
    <w:p w14:paraId="2A772916" w14:textId="77777777" w:rsidR="00DB65CD" w:rsidRPr="005572F8" w:rsidRDefault="00DB65CD" w:rsidP="00E8351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5572F8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val="en-US"/>
        </w:rPr>
        <w:t>2</w:t>
      </w:r>
      <w:r w:rsidRPr="005572F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Laboratory of Bioactive Substances, Center of Biotechnology of </w:t>
      </w:r>
      <w:proofErr w:type="spellStart"/>
      <w:r w:rsidRPr="005572F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BorjCedria</w:t>
      </w:r>
      <w:proofErr w:type="spellEnd"/>
      <w:r w:rsidRPr="005572F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, BP 901, </w:t>
      </w:r>
      <w:proofErr w:type="spellStart"/>
      <w:r w:rsidRPr="005572F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Hammam-Lif</w:t>
      </w:r>
      <w:proofErr w:type="spellEnd"/>
      <w:r w:rsidRPr="005572F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2050, Tunisia.</w:t>
      </w:r>
    </w:p>
    <w:p w14:paraId="386FFB66" w14:textId="77777777" w:rsidR="00DB65CD" w:rsidRPr="005572F8" w:rsidRDefault="00DB65CD" w:rsidP="00E8351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val="en-US"/>
        </w:rPr>
      </w:pPr>
      <w:r w:rsidRPr="005572F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vertAlign w:val="superscript"/>
          <w:lang w:val="en-US"/>
        </w:rPr>
        <w:t>3</w:t>
      </w:r>
      <w:r w:rsidRPr="005572F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Laboratory of Legumes, Center of Biotechnology of </w:t>
      </w:r>
      <w:proofErr w:type="spellStart"/>
      <w:r w:rsidRPr="005572F8">
        <w:rPr>
          <w:rFonts w:ascii="Times New Roman" w:eastAsia="Times New Roman" w:hAnsi="Times New Roman" w:cs="Times New Roman"/>
          <w:sz w:val="20"/>
          <w:szCs w:val="20"/>
          <w:lang w:val="en-US"/>
        </w:rPr>
        <w:t>BorjCedria</w:t>
      </w:r>
      <w:proofErr w:type="spellEnd"/>
      <w:r w:rsidRPr="005572F8">
        <w:rPr>
          <w:rFonts w:ascii="Times New Roman" w:eastAsia="Times New Roman" w:hAnsi="Times New Roman" w:cs="Times New Roman"/>
          <w:sz w:val="20"/>
          <w:szCs w:val="20"/>
          <w:lang w:val="en-US"/>
        </w:rPr>
        <w:t>,</w:t>
      </w:r>
      <w:r w:rsidRPr="005572F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BP 901</w:t>
      </w:r>
      <w:r w:rsidRPr="005572F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5572F8">
        <w:rPr>
          <w:rFonts w:ascii="Times New Roman" w:eastAsia="Times New Roman" w:hAnsi="Times New Roman" w:cs="Times New Roman"/>
          <w:sz w:val="20"/>
          <w:szCs w:val="20"/>
          <w:lang w:val="en-US"/>
        </w:rPr>
        <w:t>Hammam-Lif</w:t>
      </w:r>
      <w:proofErr w:type="spellEnd"/>
      <w:r w:rsidRPr="005572F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2050, Tunisia</w:t>
      </w:r>
    </w:p>
    <w:p w14:paraId="3B0C39B1" w14:textId="77777777" w:rsidR="00DB65CD" w:rsidRPr="005572F8" w:rsidRDefault="00DB65CD" w:rsidP="00E8351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val="en-US"/>
        </w:rPr>
      </w:pPr>
      <w:r w:rsidRPr="005572F8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val="en-US"/>
        </w:rPr>
        <w:t>4</w:t>
      </w:r>
      <w:r w:rsidRPr="005572F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Laboratory of Plant Molecular Physiology, Center of Biotechnology of </w:t>
      </w:r>
      <w:proofErr w:type="spellStart"/>
      <w:r w:rsidRPr="005572F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BorjCedria</w:t>
      </w:r>
      <w:proofErr w:type="spellEnd"/>
      <w:r w:rsidRPr="005572F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, BP 901, </w:t>
      </w:r>
      <w:proofErr w:type="spellStart"/>
      <w:r w:rsidRPr="005572F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Hammam-Lif</w:t>
      </w:r>
      <w:proofErr w:type="spellEnd"/>
      <w:r w:rsidRPr="005572F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2050, Tunisia</w:t>
      </w:r>
    </w:p>
    <w:p w14:paraId="5F0E19A2" w14:textId="77777777" w:rsidR="00DB65CD" w:rsidRPr="005572F8" w:rsidRDefault="00DB65CD" w:rsidP="00E8351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5572F8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val="en-US"/>
        </w:rPr>
        <w:t>5</w:t>
      </w:r>
      <w:r w:rsidRPr="005572F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Regional Center of Research on Horticulture and Organic Agriculture, University of Sousse, </w:t>
      </w:r>
      <w:proofErr w:type="spellStart"/>
      <w:r w:rsidRPr="005572F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Chott-Mariem</w:t>
      </w:r>
      <w:proofErr w:type="spellEnd"/>
      <w:r w:rsidRPr="005572F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4042, Tunisia.</w:t>
      </w:r>
    </w:p>
    <w:p w14:paraId="3AFA4FFE" w14:textId="77777777" w:rsidR="00DB65CD" w:rsidRDefault="00DB65CD" w:rsidP="00E8351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5572F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vertAlign w:val="superscript"/>
          <w:lang w:val="en-US"/>
        </w:rPr>
        <w:t>6</w:t>
      </w:r>
      <w:r w:rsidRPr="005572F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Research Support and Technology Transfer, Center of Biotechnology of </w:t>
      </w:r>
      <w:proofErr w:type="spellStart"/>
      <w:r w:rsidRPr="005572F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BorjCedria</w:t>
      </w:r>
      <w:proofErr w:type="spellEnd"/>
      <w:r w:rsidRPr="005572F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, BP 901, </w:t>
      </w:r>
      <w:proofErr w:type="spellStart"/>
      <w:r w:rsidRPr="005572F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Hammam-Lif</w:t>
      </w:r>
      <w:proofErr w:type="spellEnd"/>
      <w:r w:rsidRPr="005572F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2050, Tunisia.</w:t>
      </w:r>
    </w:p>
    <w:p w14:paraId="2FDB8B95" w14:textId="77777777" w:rsidR="005572F8" w:rsidRPr="005572F8" w:rsidRDefault="005572F8" w:rsidP="00E8351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</w:pPr>
    </w:p>
    <w:p w14:paraId="14869179" w14:textId="77777777" w:rsidR="00DB65CD" w:rsidRPr="00966D85" w:rsidRDefault="00DB65CD" w:rsidP="00966D85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966D85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Background: </w:t>
      </w:r>
      <w:r w:rsidRPr="00966D85">
        <w:rPr>
          <w:rFonts w:asciiTheme="majorBidi" w:hAnsiTheme="majorBidi" w:cstheme="majorBidi"/>
          <w:sz w:val="24"/>
          <w:szCs w:val="24"/>
          <w:lang w:val="en-US"/>
        </w:rPr>
        <w:t xml:space="preserve">Medicinal plants generally produce many secondary metabolites which constitute an important source of many bioactive molecules. Among them </w:t>
      </w:r>
      <w:r w:rsidRPr="00966D85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Cupressus sempervirens </w:t>
      </w:r>
      <w:r w:rsidRPr="00966D85">
        <w:rPr>
          <w:rFonts w:asciiTheme="majorBidi" w:hAnsiTheme="majorBidi" w:cstheme="majorBidi"/>
          <w:sz w:val="24"/>
          <w:szCs w:val="24"/>
          <w:lang w:val="en-US"/>
        </w:rPr>
        <w:t xml:space="preserve">is recognized by its richness in essential oil with antimicrobial properties. The aim of this study is to use </w:t>
      </w:r>
      <w:r w:rsidRPr="00966D85">
        <w:rPr>
          <w:rFonts w:asciiTheme="majorBidi" w:hAnsiTheme="majorBidi" w:cstheme="majorBidi"/>
          <w:i/>
          <w:iCs/>
          <w:sz w:val="24"/>
          <w:szCs w:val="24"/>
          <w:lang w:val="en-US"/>
        </w:rPr>
        <w:t>C. sempervirens</w:t>
      </w:r>
      <w:r w:rsidRPr="00966D85">
        <w:rPr>
          <w:rFonts w:asciiTheme="majorBidi" w:hAnsiTheme="majorBidi" w:cstheme="majorBidi"/>
          <w:sz w:val="24"/>
          <w:szCs w:val="24"/>
          <w:lang w:val="en-US"/>
        </w:rPr>
        <w:t xml:space="preserve"> essential oil or its bioactive components as an alternative to synthetic fungicides currently used to control </w:t>
      </w:r>
      <w:r w:rsidRPr="00966D85">
        <w:rPr>
          <w:rFonts w:asciiTheme="majorBidi" w:hAnsiTheme="majorBidi" w:cstheme="majorBidi"/>
          <w:i/>
          <w:iCs/>
          <w:sz w:val="24"/>
          <w:szCs w:val="24"/>
          <w:lang w:val="en-US"/>
        </w:rPr>
        <w:t>Botrytis cinerea</w:t>
      </w:r>
      <w:r w:rsidRPr="00966D85"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0987873B" w14:textId="77777777" w:rsidR="009F23FC" w:rsidRPr="00966D85" w:rsidRDefault="00DB65CD" w:rsidP="00966D85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966D85">
        <w:rPr>
          <w:rFonts w:asciiTheme="majorBidi" w:hAnsiTheme="majorBidi" w:cstheme="majorBidi"/>
          <w:b/>
          <w:bCs/>
          <w:sz w:val="24"/>
          <w:szCs w:val="24"/>
          <w:lang w:val="en-GB"/>
        </w:rPr>
        <w:t>Materials/Methods</w:t>
      </w:r>
      <w:r w:rsidRPr="00966D8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9F23FC" w:rsidRPr="00966D85">
        <w:rPr>
          <w:rFonts w:asciiTheme="majorBidi" w:hAnsiTheme="majorBidi" w:cstheme="majorBidi"/>
          <w:sz w:val="24"/>
          <w:szCs w:val="24"/>
          <w:lang w:val="en-US"/>
        </w:rPr>
        <w:t xml:space="preserve">Essential oils of </w:t>
      </w:r>
      <w:r w:rsidR="00E83511" w:rsidRPr="00966D85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Cupressus </w:t>
      </w:r>
      <w:r w:rsidR="009F23FC" w:rsidRPr="00966D85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sempervirens </w:t>
      </w:r>
      <w:r w:rsidR="009F23FC" w:rsidRPr="00966D85">
        <w:rPr>
          <w:rFonts w:asciiTheme="majorBidi" w:hAnsiTheme="majorBidi" w:cstheme="majorBidi"/>
          <w:sz w:val="24"/>
          <w:szCs w:val="24"/>
          <w:lang w:val="en-US"/>
        </w:rPr>
        <w:t xml:space="preserve">were extracted at vegetative, flowering and fructification stages and identified by chromatography-mass spectrometry. The antifungal activity of essential oils was determined using the dilution in agar method and the minimal inhibitory concentration using micro well plate dilutions. The </w:t>
      </w:r>
      <w:r w:rsidR="009F23FC" w:rsidRPr="00966D85">
        <w:rPr>
          <w:rFonts w:asciiTheme="majorBidi" w:hAnsiTheme="majorBidi" w:cstheme="majorBidi"/>
          <w:i/>
          <w:iCs/>
          <w:sz w:val="24"/>
          <w:szCs w:val="24"/>
          <w:lang w:val="en-US"/>
        </w:rPr>
        <w:t>in vivo</w:t>
      </w:r>
      <w:r w:rsidR="009F23FC" w:rsidRPr="00966D85">
        <w:rPr>
          <w:rFonts w:asciiTheme="majorBidi" w:hAnsiTheme="majorBidi" w:cstheme="majorBidi"/>
          <w:sz w:val="24"/>
          <w:szCs w:val="24"/>
          <w:lang w:val="en-US"/>
        </w:rPr>
        <w:t xml:space="preserve"> antifungal activity was also tested on tomato fruits.</w:t>
      </w:r>
    </w:p>
    <w:p w14:paraId="2F5BA5B8" w14:textId="77777777" w:rsidR="009F23FC" w:rsidRPr="00966D85" w:rsidRDefault="009F23FC" w:rsidP="00966D85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966D85">
        <w:rPr>
          <w:rFonts w:asciiTheme="majorBidi" w:hAnsiTheme="majorBidi" w:cstheme="majorBidi"/>
          <w:b/>
          <w:bCs/>
          <w:sz w:val="24"/>
          <w:szCs w:val="24"/>
          <w:lang w:val="en-GB"/>
        </w:rPr>
        <w:t>Results</w:t>
      </w:r>
      <w:r w:rsidRPr="00966D85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="00DB65CD" w:rsidRPr="00966D85">
        <w:rPr>
          <w:rFonts w:asciiTheme="majorBidi" w:hAnsiTheme="majorBidi" w:cstheme="majorBidi"/>
          <w:sz w:val="24"/>
          <w:szCs w:val="24"/>
          <w:lang w:val="en-US"/>
        </w:rPr>
        <w:t xml:space="preserve">Essential oils composition varied with the phenological stage and the main chemical classes were sesquiterpene hydrocarbons (59.59% to 64.5%) with the most representative compounds being </w:t>
      </w:r>
      <w:proofErr w:type="spellStart"/>
      <w:r w:rsidR="00DB65CD" w:rsidRPr="00966D85">
        <w:rPr>
          <w:rFonts w:asciiTheme="majorBidi" w:eastAsia="Times New Roman" w:hAnsiTheme="majorBidi" w:cstheme="majorBidi"/>
          <w:sz w:val="24"/>
          <w:szCs w:val="24"/>
          <w:lang w:val="en-US"/>
        </w:rPr>
        <w:t>germacrene</w:t>
      </w:r>
      <w:proofErr w:type="spellEnd"/>
      <w:r w:rsidR="00DB65CD" w:rsidRPr="00966D85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D (18.38% to 24.82%)</w:t>
      </w:r>
      <w:r w:rsidR="00DB65CD" w:rsidRPr="00966D85">
        <w:rPr>
          <w:rFonts w:asciiTheme="majorBidi" w:hAnsiTheme="majorBidi" w:cstheme="majorBidi"/>
          <w:sz w:val="24"/>
          <w:szCs w:val="24"/>
          <w:lang w:val="en-US"/>
        </w:rPr>
        <w:t xml:space="preserve"> and those of the monoterpene hydrocarbons class (</w:t>
      </w:r>
      <w:r w:rsidR="00DB65CD" w:rsidRPr="00966D85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16.63% to </w:t>
      </w:r>
      <w:r w:rsidR="00DB65CD" w:rsidRPr="00966D85">
        <w:rPr>
          <w:rFonts w:asciiTheme="majorBidi" w:hAnsiTheme="majorBidi" w:cstheme="majorBidi"/>
          <w:sz w:val="24"/>
          <w:szCs w:val="24"/>
          <w:lang w:val="en-US"/>
        </w:rPr>
        <w:t xml:space="preserve">26.5%) with </w:t>
      </w:r>
      <w:r w:rsidR="00DB65CD" w:rsidRPr="00966D85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α-pinene as </w:t>
      </w:r>
      <w:r w:rsidR="00DB65CD" w:rsidRPr="00966D85">
        <w:rPr>
          <w:rFonts w:asciiTheme="majorBidi" w:hAnsiTheme="majorBidi" w:cstheme="majorBidi"/>
          <w:sz w:val="24"/>
          <w:szCs w:val="24"/>
          <w:lang w:val="en-US"/>
        </w:rPr>
        <w:t xml:space="preserve">the most representative compound </w:t>
      </w:r>
      <w:r w:rsidR="00DB65CD" w:rsidRPr="00966D85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(14.75% to 22.92%). </w:t>
      </w:r>
      <w:r w:rsidR="00DB65CD" w:rsidRPr="00966D85">
        <w:rPr>
          <w:rFonts w:asciiTheme="majorBidi" w:hAnsiTheme="majorBidi" w:cstheme="majorBidi"/>
          <w:sz w:val="24"/>
          <w:szCs w:val="24"/>
          <w:lang w:val="en-US"/>
        </w:rPr>
        <w:t xml:space="preserve">The </w:t>
      </w:r>
      <w:r w:rsidR="00DB65CD" w:rsidRPr="00966D85">
        <w:rPr>
          <w:rFonts w:asciiTheme="majorBidi" w:hAnsiTheme="majorBidi" w:cstheme="majorBidi"/>
          <w:i/>
          <w:iCs/>
          <w:sz w:val="24"/>
          <w:szCs w:val="24"/>
          <w:lang w:val="en-US"/>
        </w:rPr>
        <w:t>in vitro</w:t>
      </w:r>
      <w:r w:rsidR="00DB65CD" w:rsidRPr="00966D85">
        <w:rPr>
          <w:rFonts w:asciiTheme="majorBidi" w:hAnsiTheme="majorBidi" w:cstheme="majorBidi"/>
          <w:sz w:val="24"/>
          <w:szCs w:val="24"/>
          <w:lang w:val="en-US"/>
        </w:rPr>
        <w:t xml:space="preserve"> antifungal tests against </w:t>
      </w:r>
      <w:r w:rsidR="00DB65CD" w:rsidRPr="00966D85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B. cinerea </w:t>
      </w:r>
      <w:r w:rsidR="00DB65CD" w:rsidRPr="00966D85">
        <w:rPr>
          <w:rFonts w:asciiTheme="majorBidi" w:hAnsiTheme="majorBidi" w:cstheme="majorBidi"/>
          <w:sz w:val="24"/>
          <w:szCs w:val="24"/>
          <w:lang w:val="en-US"/>
        </w:rPr>
        <w:t>showed that the three studied essential oils inhibit mycelia growth with the highest activity observed at flowering stage. The antifungal activity of some pure compounds (α-pinene, α-cedrol and β-caryophyllene) alone or combined according to their proportions in the natural essential oil showed that α-pinene combined with β-caryophyllene provided the highest antifungal activity at a concentration as low as 0.12 mg/ml as compared to that of the chemical fungicide used as a positive control</w:t>
      </w:r>
      <w:r w:rsidR="00DB65CD" w:rsidRPr="00966D85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 xml:space="preserve">. </w:t>
      </w:r>
      <w:r w:rsidR="00DB65CD" w:rsidRPr="00966D85">
        <w:rPr>
          <w:rFonts w:asciiTheme="majorBidi" w:hAnsiTheme="majorBidi" w:cstheme="majorBidi"/>
          <w:sz w:val="24"/>
          <w:szCs w:val="24"/>
          <w:lang w:val="en-US"/>
        </w:rPr>
        <w:t xml:space="preserve">Microscopic observation showed that essential oil at flowering stage induced swelling and crumbling of </w:t>
      </w:r>
      <w:r w:rsidR="00DB65CD" w:rsidRPr="00966D85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B. cinerea </w:t>
      </w:r>
      <w:r w:rsidR="00DB65CD" w:rsidRPr="00966D85">
        <w:rPr>
          <w:rFonts w:asciiTheme="majorBidi" w:hAnsiTheme="majorBidi" w:cstheme="majorBidi"/>
          <w:sz w:val="24"/>
          <w:szCs w:val="24"/>
          <w:lang w:val="en-US"/>
        </w:rPr>
        <w:t xml:space="preserve">conidia. The pulverization of </w:t>
      </w:r>
      <w:r w:rsidR="00DB65CD" w:rsidRPr="00966D85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C. sempervirens </w:t>
      </w:r>
      <w:r w:rsidR="00DB65CD" w:rsidRPr="00966D85">
        <w:rPr>
          <w:rFonts w:asciiTheme="majorBidi" w:hAnsiTheme="majorBidi" w:cstheme="majorBidi"/>
          <w:sz w:val="24"/>
          <w:szCs w:val="24"/>
          <w:lang w:val="en-US"/>
        </w:rPr>
        <w:t xml:space="preserve">essential oils on tomato fruits at 1mg/mL inhibited 54% of </w:t>
      </w:r>
      <w:r w:rsidR="00DB65CD" w:rsidRPr="00966D85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B. cinerea </w:t>
      </w:r>
      <w:r w:rsidR="00DB65CD" w:rsidRPr="00966D85">
        <w:rPr>
          <w:rFonts w:asciiTheme="majorBidi" w:hAnsiTheme="majorBidi" w:cstheme="majorBidi"/>
          <w:sz w:val="24"/>
          <w:szCs w:val="24"/>
          <w:lang w:val="en-US"/>
        </w:rPr>
        <w:t xml:space="preserve">infection </w:t>
      </w:r>
    </w:p>
    <w:p w14:paraId="69F16207" w14:textId="77777777" w:rsidR="00DB65CD" w:rsidRPr="00966D85" w:rsidRDefault="009F23FC" w:rsidP="00966D85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966D85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Conclusion: </w:t>
      </w:r>
      <w:r w:rsidRPr="00966D85">
        <w:rPr>
          <w:rFonts w:asciiTheme="majorBidi" w:hAnsiTheme="majorBidi" w:cstheme="majorBidi"/>
          <w:i/>
          <w:iCs/>
          <w:sz w:val="24"/>
          <w:szCs w:val="24"/>
          <w:lang w:val="en-US"/>
        </w:rPr>
        <w:t>Cupressus sempervirens</w:t>
      </w:r>
      <w:r w:rsidRPr="00966D85">
        <w:rPr>
          <w:rFonts w:asciiTheme="majorBidi" w:hAnsiTheme="majorBidi" w:cstheme="majorBidi"/>
          <w:sz w:val="24"/>
          <w:szCs w:val="24"/>
          <w:lang w:val="en-US"/>
        </w:rPr>
        <w:t xml:space="preserve"> essential oil</w:t>
      </w:r>
      <w:r w:rsidR="00DB65CD" w:rsidRPr="00966D85">
        <w:rPr>
          <w:rFonts w:asciiTheme="majorBidi" w:hAnsiTheme="majorBidi" w:cstheme="majorBidi"/>
          <w:sz w:val="24"/>
          <w:szCs w:val="24"/>
          <w:lang w:val="en-US"/>
        </w:rPr>
        <w:t xml:space="preserve"> constitute</w:t>
      </w:r>
      <w:r w:rsidRPr="00966D85">
        <w:rPr>
          <w:rFonts w:asciiTheme="majorBidi" w:hAnsiTheme="majorBidi" w:cstheme="majorBidi"/>
          <w:sz w:val="24"/>
          <w:szCs w:val="24"/>
          <w:lang w:val="en-US"/>
        </w:rPr>
        <w:t>s</w:t>
      </w:r>
      <w:r w:rsidR="00DB65CD" w:rsidRPr="00966D85">
        <w:rPr>
          <w:rFonts w:asciiTheme="majorBidi" w:hAnsiTheme="majorBidi" w:cstheme="majorBidi"/>
          <w:sz w:val="24"/>
          <w:szCs w:val="24"/>
          <w:lang w:val="en-US"/>
        </w:rPr>
        <w:t xml:space="preserve"> a promising safe product for the biocontrol of the post-harvest disease </w:t>
      </w:r>
      <w:r w:rsidR="00DB65CD" w:rsidRPr="00966D85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Botrytis cinerea </w:t>
      </w:r>
      <w:r w:rsidR="00DB65CD" w:rsidRPr="00966D85">
        <w:rPr>
          <w:rFonts w:asciiTheme="majorBidi" w:hAnsiTheme="majorBidi" w:cstheme="majorBidi"/>
          <w:sz w:val="24"/>
          <w:szCs w:val="24"/>
          <w:lang w:val="en-US"/>
        </w:rPr>
        <w:t>during storage and transport of tomato.</w:t>
      </w:r>
    </w:p>
    <w:p w14:paraId="6C4A8CBE" w14:textId="77777777" w:rsidR="00767EED" w:rsidRPr="00966D85" w:rsidRDefault="00767EED" w:rsidP="00966D85">
      <w:pPr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sectPr w:rsidR="00767EED" w:rsidRPr="00966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5CD"/>
    <w:rsid w:val="002A670A"/>
    <w:rsid w:val="00461FA9"/>
    <w:rsid w:val="005572F8"/>
    <w:rsid w:val="00767EED"/>
    <w:rsid w:val="00966D85"/>
    <w:rsid w:val="009F23FC"/>
    <w:rsid w:val="00D35AAA"/>
    <w:rsid w:val="00DB65CD"/>
    <w:rsid w:val="00E8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58F3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B65CD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486</Words>
  <Characters>2675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Utilisateur de Microsoft Office</cp:lastModifiedBy>
  <cp:revision>2</cp:revision>
  <dcterms:created xsi:type="dcterms:W3CDTF">2019-05-27T12:26:00Z</dcterms:created>
  <dcterms:modified xsi:type="dcterms:W3CDTF">2019-05-27T12:26:00Z</dcterms:modified>
</cp:coreProperties>
</file>